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6E89" w14:textId="77777777" w:rsidR="007B0047" w:rsidRPr="00A448A4" w:rsidRDefault="007B0047" w:rsidP="007B0047">
      <w:pPr>
        <w:pStyle w:val="ac"/>
        <w:tabs>
          <w:tab w:val="left" w:pos="567"/>
        </w:tabs>
        <w:jc w:val="center"/>
        <w:rPr>
          <w:b/>
          <w:sz w:val="24"/>
          <w:szCs w:val="24"/>
        </w:rPr>
      </w:pPr>
      <w:r w:rsidRPr="00A448A4">
        <w:rPr>
          <w:b/>
          <w:sz w:val="24"/>
          <w:szCs w:val="24"/>
        </w:rPr>
        <w:t>Сообщение о возможном установлении публичного сервитута в отношении земельного участка в кадастровом квартале 77:04:0001020</w:t>
      </w:r>
      <w:r>
        <w:rPr>
          <w:b/>
          <w:sz w:val="24"/>
          <w:szCs w:val="24"/>
        </w:rPr>
        <w:t xml:space="preserve"> </w:t>
      </w:r>
      <w:r w:rsidRPr="00A448A4">
        <w:rPr>
          <w:b/>
          <w:sz w:val="24"/>
          <w:szCs w:val="24"/>
        </w:rPr>
        <w:t xml:space="preserve">для обеспечения строительства линейного объекта улично-дорожной сети: «1-й этап – Дорога по проектируемому проезду № 58 с инженерными сетями (дождевая канализация, уличное освещение) и благоустройством, с реконструкцией на участке ул. Нижняя Хохловка для «стартовых» жилых домов Программы  реновации по  адресу: ул. </w:t>
      </w:r>
      <w:proofErr w:type="spellStart"/>
      <w:r w:rsidRPr="00A448A4">
        <w:rPr>
          <w:b/>
          <w:sz w:val="24"/>
          <w:szCs w:val="24"/>
        </w:rPr>
        <w:t>Новохохловская</w:t>
      </w:r>
      <w:proofErr w:type="spellEnd"/>
      <w:r w:rsidRPr="00A448A4">
        <w:rPr>
          <w:b/>
          <w:sz w:val="24"/>
          <w:szCs w:val="24"/>
        </w:rPr>
        <w:t xml:space="preserve"> з/у 1 (район Нижегородский,</w:t>
      </w:r>
      <w:r>
        <w:rPr>
          <w:b/>
          <w:sz w:val="24"/>
          <w:szCs w:val="24"/>
        </w:rPr>
        <w:t xml:space="preserve">      </w:t>
      </w:r>
      <w:r w:rsidRPr="00A448A4">
        <w:rPr>
          <w:b/>
          <w:sz w:val="24"/>
          <w:szCs w:val="24"/>
        </w:rPr>
        <w:t xml:space="preserve"> кв. 80, между </w:t>
      </w:r>
      <w:proofErr w:type="spellStart"/>
      <w:r w:rsidRPr="00A448A4">
        <w:rPr>
          <w:b/>
          <w:sz w:val="24"/>
          <w:szCs w:val="24"/>
        </w:rPr>
        <w:t>Новохохловской</w:t>
      </w:r>
      <w:proofErr w:type="spellEnd"/>
      <w:r w:rsidRPr="00A448A4">
        <w:rPr>
          <w:b/>
          <w:sz w:val="24"/>
          <w:szCs w:val="24"/>
        </w:rPr>
        <w:t xml:space="preserve"> ул. и Третьим транспортным кольцом) (ЮВАО)»</w:t>
      </w:r>
    </w:p>
    <w:p w14:paraId="38035C41" w14:textId="77777777" w:rsidR="007B0047" w:rsidRPr="00275173" w:rsidRDefault="007B0047" w:rsidP="007B0047">
      <w:pPr>
        <w:pStyle w:val="ac"/>
        <w:tabs>
          <w:tab w:val="left" w:pos="567"/>
        </w:tabs>
        <w:jc w:val="center"/>
        <w:rPr>
          <w:b/>
          <w:sz w:val="24"/>
          <w:szCs w:val="24"/>
        </w:rPr>
      </w:pPr>
    </w:p>
    <w:tbl>
      <w:tblPr>
        <w:tblStyle w:val="ae"/>
        <w:tblW w:w="10490" w:type="dxa"/>
        <w:tblInd w:w="-176" w:type="dxa"/>
        <w:tblLayout w:type="fixed"/>
        <w:tblLook w:val="04A0" w:firstRow="1" w:lastRow="0" w:firstColumn="1" w:lastColumn="0" w:noHBand="0" w:noVBand="1"/>
      </w:tblPr>
      <w:tblGrid>
        <w:gridCol w:w="426"/>
        <w:gridCol w:w="3969"/>
        <w:gridCol w:w="6095"/>
      </w:tblGrid>
      <w:tr w:rsidR="007B0047" w14:paraId="330F1224" w14:textId="77777777" w:rsidTr="005A1E0A">
        <w:tc>
          <w:tcPr>
            <w:tcW w:w="426" w:type="dxa"/>
          </w:tcPr>
          <w:p w14:paraId="73F70566" w14:textId="77777777" w:rsidR="007B0047" w:rsidRPr="004D73F1" w:rsidRDefault="007B0047" w:rsidP="005A1E0A">
            <w:pPr>
              <w:rPr>
                <w:bCs/>
                <w:color w:val="000000"/>
                <w:sz w:val="19"/>
                <w:szCs w:val="19"/>
              </w:rPr>
            </w:pPr>
            <w:r w:rsidRPr="004D73F1">
              <w:rPr>
                <w:bCs/>
                <w:color w:val="000000"/>
                <w:sz w:val="19"/>
                <w:szCs w:val="19"/>
              </w:rPr>
              <w:t>1.</w:t>
            </w:r>
          </w:p>
        </w:tc>
        <w:tc>
          <w:tcPr>
            <w:tcW w:w="3969" w:type="dxa"/>
          </w:tcPr>
          <w:p w14:paraId="66970773" w14:textId="77777777" w:rsidR="007B0047" w:rsidRPr="004D73F1" w:rsidRDefault="007B0047" w:rsidP="005A1E0A">
            <w:pPr>
              <w:rPr>
                <w:sz w:val="19"/>
                <w:szCs w:val="19"/>
              </w:rPr>
            </w:pPr>
            <w:r w:rsidRPr="009F23EB">
              <w:rPr>
                <w:bCs/>
                <w:color w:val="000000"/>
                <w:sz w:val="19"/>
                <w:szCs w:val="19"/>
              </w:rPr>
              <w:t>Наименование уполномоченного органа, которым рассматривается ходатайство об установлении публичного сервитута</w:t>
            </w:r>
          </w:p>
        </w:tc>
        <w:tc>
          <w:tcPr>
            <w:tcW w:w="6095" w:type="dxa"/>
          </w:tcPr>
          <w:p w14:paraId="4B05A81C" w14:textId="77777777" w:rsidR="007B0047" w:rsidRPr="004D73F1" w:rsidRDefault="007B0047" w:rsidP="005A1E0A">
            <w:pPr>
              <w:rPr>
                <w:sz w:val="19"/>
                <w:szCs w:val="19"/>
              </w:rPr>
            </w:pPr>
            <w:r w:rsidRPr="004D73F1">
              <w:rPr>
                <w:sz w:val="19"/>
                <w:szCs w:val="19"/>
              </w:rPr>
              <w:t>Департамент городского имущества города Москвы</w:t>
            </w:r>
          </w:p>
        </w:tc>
      </w:tr>
      <w:tr w:rsidR="007B0047" w14:paraId="04DBD1ED" w14:textId="77777777" w:rsidTr="005A1E0A">
        <w:tc>
          <w:tcPr>
            <w:tcW w:w="426" w:type="dxa"/>
          </w:tcPr>
          <w:p w14:paraId="6437ABFE" w14:textId="77777777" w:rsidR="007B0047" w:rsidRPr="004D73F1" w:rsidRDefault="007B0047" w:rsidP="005A1E0A">
            <w:pPr>
              <w:rPr>
                <w:color w:val="000000"/>
                <w:sz w:val="19"/>
                <w:szCs w:val="19"/>
              </w:rPr>
            </w:pPr>
            <w:r w:rsidRPr="004D73F1">
              <w:rPr>
                <w:color w:val="000000"/>
                <w:sz w:val="19"/>
                <w:szCs w:val="19"/>
              </w:rPr>
              <w:t>2.</w:t>
            </w:r>
          </w:p>
        </w:tc>
        <w:tc>
          <w:tcPr>
            <w:tcW w:w="3969" w:type="dxa"/>
          </w:tcPr>
          <w:p w14:paraId="46CE22F6" w14:textId="77777777" w:rsidR="007B0047" w:rsidRPr="004D73F1" w:rsidRDefault="007B0047" w:rsidP="005A1E0A">
            <w:pPr>
              <w:rPr>
                <w:sz w:val="19"/>
                <w:szCs w:val="19"/>
              </w:rPr>
            </w:pPr>
            <w:r w:rsidRPr="009F23EB">
              <w:rPr>
                <w:color w:val="000000"/>
                <w:sz w:val="19"/>
                <w:szCs w:val="19"/>
              </w:rPr>
              <w:t>Цель установления публичного сервитута</w:t>
            </w:r>
          </w:p>
        </w:tc>
        <w:tc>
          <w:tcPr>
            <w:tcW w:w="6095" w:type="dxa"/>
          </w:tcPr>
          <w:p w14:paraId="6D202296" w14:textId="77777777" w:rsidR="007B0047" w:rsidRPr="00A448A4" w:rsidRDefault="007B0047" w:rsidP="005A1E0A">
            <w:pPr>
              <w:rPr>
                <w:sz w:val="19"/>
                <w:szCs w:val="19"/>
              </w:rPr>
            </w:pPr>
            <w:r w:rsidRPr="00A448A4">
              <w:rPr>
                <w:sz w:val="19"/>
                <w:szCs w:val="19"/>
              </w:rPr>
              <w:t xml:space="preserve">для обеспечения строительства линейного объекта улично-дорожной сети: «1-й этап – Дорога по проектируемому проезду № 58 с инженерными сетями (дождевая канализация, уличное освещение) и благоустройством, с реконструкцией на участке ул. Нижняя Хохловка для «стартовых» жилых домов Программы  реновации по  адресу: ул. </w:t>
            </w:r>
            <w:proofErr w:type="spellStart"/>
            <w:r w:rsidRPr="00A448A4">
              <w:rPr>
                <w:sz w:val="19"/>
                <w:szCs w:val="19"/>
              </w:rPr>
              <w:t>Новохохловская</w:t>
            </w:r>
            <w:proofErr w:type="spellEnd"/>
            <w:r w:rsidRPr="00A448A4">
              <w:rPr>
                <w:sz w:val="19"/>
                <w:szCs w:val="19"/>
              </w:rPr>
              <w:t xml:space="preserve"> з/у 1 (район Нижегородский, кв. 80, между </w:t>
            </w:r>
            <w:proofErr w:type="spellStart"/>
            <w:r w:rsidRPr="00A448A4">
              <w:rPr>
                <w:sz w:val="19"/>
                <w:szCs w:val="19"/>
              </w:rPr>
              <w:t>Новохохловской</w:t>
            </w:r>
            <w:proofErr w:type="spellEnd"/>
            <w:r w:rsidRPr="00A448A4">
              <w:rPr>
                <w:sz w:val="19"/>
                <w:szCs w:val="19"/>
              </w:rPr>
              <w:t xml:space="preserve"> ул. и Третьим транспортным кольцом) (ЮВАО)»</w:t>
            </w:r>
          </w:p>
        </w:tc>
      </w:tr>
      <w:tr w:rsidR="007B0047" w14:paraId="3AFA1F69" w14:textId="77777777" w:rsidTr="005A1E0A">
        <w:tc>
          <w:tcPr>
            <w:tcW w:w="426" w:type="dxa"/>
          </w:tcPr>
          <w:p w14:paraId="00112746" w14:textId="77777777" w:rsidR="007B0047" w:rsidRPr="004D73F1" w:rsidRDefault="007B0047" w:rsidP="005A1E0A">
            <w:pPr>
              <w:rPr>
                <w:color w:val="000000"/>
                <w:sz w:val="19"/>
                <w:szCs w:val="19"/>
              </w:rPr>
            </w:pPr>
            <w:r w:rsidRPr="004D73F1">
              <w:rPr>
                <w:color w:val="000000"/>
                <w:sz w:val="19"/>
                <w:szCs w:val="19"/>
              </w:rPr>
              <w:t>3.</w:t>
            </w:r>
          </w:p>
        </w:tc>
        <w:tc>
          <w:tcPr>
            <w:tcW w:w="3969" w:type="dxa"/>
          </w:tcPr>
          <w:p w14:paraId="2D1C686C" w14:textId="77777777" w:rsidR="007B0047" w:rsidRPr="004D73F1" w:rsidRDefault="007B0047" w:rsidP="005A1E0A">
            <w:pPr>
              <w:rPr>
                <w:sz w:val="19"/>
                <w:szCs w:val="19"/>
              </w:rPr>
            </w:pPr>
            <w:r w:rsidRPr="009F23EB">
              <w:rPr>
                <w:color w:val="000000"/>
                <w:sz w:val="19"/>
                <w:szCs w:val="19"/>
              </w:rPr>
              <w:t>Адрес или иное описание местоположения земельного участка (участков), в отношении которого испрашивается публичный сервитут</w:t>
            </w:r>
          </w:p>
        </w:tc>
        <w:tc>
          <w:tcPr>
            <w:tcW w:w="6095" w:type="dxa"/>
          </w:tcPr>
          <w:p w14:paraId="35DEAF5C" w14:textId="77777777" w:rsidR="007B0047" w:rsidRPr="00A448A4" w:rsidRDefault="007B0047" w:rsidP="005A1E0A">
            <w:pPr>
              <w:rPr>
                <w:sz w:val="19"/>
                <w:szCs w:val="19"/>
              </w:rPr>
            </w:pPr>
            <w:r w:rsidRPr="00A448A4">
              <w:rPr>
                <w:sz w:val="19"/>
                <w:szCs w:val="19"/>
              </w:rPr>
              <w:t>Земельный участок в кадастровом квартале 77:04:0001020</w:t>
            </w:r>
            <w:r w:rsidRPr="00A448A4">
              <w:rPr>
                <w:b/>
                <w:sz w:val="19"/>
                <w:szCs w:val="19"/>
              </w:rPr>
              <w:t xml:space="preserve"> </w:t>
            </w:r>
          </w:p>
        </w:tc>
      </w:tr>
      <w:tr w:rsidR="007B0047" w14:paraId="5608485B" w14:textId="77777777" w:rsidTr="005A1E0A">
        <w:tc>
          <w:tcPr>
            <w:tcW w:w="426" w:type="dxa"/>
          </w:tcPr>
          <w:p w14:paraId="2893C175" w14:textId="77777777" w:rsidR="007B0047" w:rsidRPr="004D73F1" w:rsidRDefault="007B0047" w:rsidP="005A1E0A">
            <w:pPr>
              <w:rPr>
                <w:sz w:val="19"/>
                <w:szCs w:val="19"/>
              </w:rPr>
            </w:pPr>
            <w:r w:rsidRPr="004D73F1">
              <w:rPr>
                <w:sz w:val="19"/>
                <w:szCs w:val="19"/>
              </w:rPr>
              <w:t>4.</w:t>
            </w:r>
          </w:p>
        </w:tc>
        <w:tc>
          <w:tcPr>
            <w:tcW w:w="3969" w:type="dxa"/>
          </w:tcPr>
          <w:p w14:paraId="477175D4" w14:textId="77777777" w:rsidR="007B0047" w:rsidRPr="004D73F1" w:rsidRDefault="007B0047" w:rsidP="005A1E0A">
            <w:pPr>
              <w:rPr>
                <w:sz w:val="19"/>
                <w:szCs w:val="19"/>
              </w:rPr>
            </w:pPr>
            <w:r w:rsidRPr="009F23EB">
              <w:rPr>
                <w:color w:val="000000"/>
                <w:sz w:val="19"/>
                <w:szCs w:val="19"/>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095" w:type="dxa"/>
          </w:tcPr>
          <w:p w14:paraId="66C21510" w14:textId="77777777" w:rsidR="007B0047" w:rsidRPr="00F62E1D" w:rsidRDefault="007B0047" w:rsidP="005A1E0A">
            <w:pPr>
              <w:spacing w:line="168" w:lineRule="atLeast"/>
              <w:rPr>
                <w:color w:val="000000"/>
                <w:sz w:val="19"/>
                <w:szCs w:val="19"/>
              </w:rPr>
            </w:pPr>
            <w:r w:rsidRPr="00F62E1D">
              <w:rPr>
                <w:color w:val="000000"/>
                <w:sz w:val="19"/>
                <w:szCs w:val="19"/>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https://www.mos.ru/dgi/documents/izveshcheniia/ </w:t>
            </w:r>
          </w:p>
          <w:p w14:paraId="3EAEF8DB" w14:textId="77777777" w:rsidR="007B0047" w:rsidRPr="00F62E1D" w:rsidRDefault="007B0047" w:rsidP="005A1E0A">
            <w:pPr>
              <w:spacing w:line="168" w:lineRule="atLeast"/>
              <w:rPr>
                <w:color w:val="000000"/>
                <w:sz w:val="19"/>
                <w:szCs w:val="19"/>
              </w:rPr>
            </w:pPr>
            <w:r w:rsidRPr="00F62E1D">
              <w:rPr>
                <w:color w:val="000000"/>
                <w:sz w:val="19"/>
                <w:szCs w:val="19"/>
              </w:rPr>
              <w:t>При необходимости возможно подать обращение по данному вопросу через электронную приемную https://www.mos.ru/feedback/reception/</w:t>
            </w:r>
          </w:p>
          <w:p w14:paraId="598DAE91" w14:textId="77777777" w:rsidR="007B0047" w:rsidRPr="00F62E1D" w:rsidRDefault="007B0047" w:rsidP="005A1E0A">
            <w:pPr>
              <w:spacing w:line="168" w:lineRule="atLeast"/>
              <w:rPr>
                <w:color w:val="000000"/>
                <w:sz w:val="19"/>
                <w:szCs w:val="19"/>
              </w:rPr>
            </w:pPr>
            <w:r w:rsidRPr="00F62E1D">
              <w:rPr>
                <w:color w:val="000000"/>
                <w:sz w:val="19"/>
                <w:szCs w:val="19"/>
              </w:rPr>
              <w:t>(время приема круглосуточно)</w:t>
            </w:r>
          </w:p>
          <w:p w14:paraId="2B6ED5AE" w14:textId="77777777" w:rsidR="007B0047" w:rsidRPr="004D73F1" w:rsidRDefault="007B0047" w:rsidP="005A1E0A">
            <w:pPr>
              <w:rPr>
                <w:color w:val="000000"/>
                <w:sz w:val="19"/>
                <w:szCs w:val="19"/>
              </w:rPr>
            </w:pPr>
            <w:r w:rsidRPr="00F62E1D">
              <w:rPr>
                <w:color w:val="000000"/>
                <w:sz w:val="19"/>
                <w:szCs w:val="19"/>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7B0047" w14:paraId="3CE35245" w14:textId="77777777" w:rsidTr="005A1E0A">
        <w:tc>
          <w:tcPr>
            <w:tcW w:w="426" w:type="dxa"/>
          </w:tcPr>
          <w:p w14:paraId="16CCA43A" w14:textId="77777777" w:rsidR="007B0047" w:rsidRPr="004D73F1" w:rsidRDefault="007B0047" w:rsidP="005A1E0A">
            <w:pPr>
              <w:rPr>
                <w:color w:val="000000"/>
                <w:sz w:val="19"/>
                <w:szCs w:val="19"/>
              </w:rPr>
            </w:pPr>
            <w:r w:rsidRPr="004D73F1">
              <w:rPr>
                <w:color w:val="000000"/>
                <w:sz w:val="19"/>
                <w:szCs w:val="19"/>
              </w:rPr>
              <w:t>5.</w:t>
            </w:r>
          </w:p>
        </w:tc>
        <w:tc>
          <w:tcPr>
            <w:tcW w:w="3969" w:type="dxa"/>
          </w:tcPr>
          <w:p w14:paraId="43C4FE64" w14:textId="77777777" w:rsidR="007B0047" w:rsidRPr="004D73F1" w:rsidRDefault="007B0047" w:rsidP="005A1E0A">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095" w:type="dxa"/>
          </w:tcPr>
          <w:p w14:paraId="77601A71" w14:textId="77777777" w:rsidR="007B0047" w:rsidRPr="004D73F1" w:rsidRDefault="007B0047" w:rsidP="005A1E0A">
            <w:pPr>
              <w:rPr>
                <w:color w:val="000000"/>
                <w:sz w:val="19"/>
                <w:szCs w:val="19"/>
              </w:rPr>
            </w:pPr>
            <w:r w:rsidRPr="004D73F1">
              <w:rPr>
                <w:color w:val="000000"/>
                <w:sz w:val="19"/>
                <w:szCs w:val="19"/>
              </w:rPr>
              <w:t>https://www.mos.ru/dgi/</w:t>
            </w:r>
          </w:p>
        </w:tc>
      </w:tr>
      <w:tr w:rsidR="007B0047" w14:paraId="0861A9EA" w14:textId="77777777" w:rsidTr="005A1E0A">
        <w:tc>
          <w:tcPr>
            <w:tcW w:w="426" w:type="dxa"/>
          </w:tcPr>
          <w:p w14:paraId="77D7E639" w14:textId="77777777" w:rsidR="007B0047" w:rsidRPr="004D73F1" w:rsidRDefault="007B0047" w:rsidP="005A1E0A">
            <w:pPr>
              <w:rPr>
                <w:color w:val="000000"/>
                <w:sz w:val="19"/>
                <w:szCs w:val="19"/>
              </w:rPr>
            </w:pPr>
            <w:r w:rsidRPr="004D73F1">
              <w:rPr>
                <w:color w:val="000000"/>
                <w:sz w:val="19"/>
                <w:szCs w:val="19"/>
              </w:rPr>
              <w:t>6.</w:t>
            </w:r>
          </w:p>
        </w:tc>
        <w:tc>
          <w:tcPr>
            <w:tcW w:w="3969" w:type="dxa"/>
          </w:tcPr>
          <w:p w14:paraId="30A80BA6" w14:textId="77777777" w:rsidR="007B0047" w:rsidRPr="004D73F1" w:rsidRDefault="007B0047" w:rsidP="005A1E0A">
            <w:pPr>
              <w:rPr>
                <w:color w:val="000000"/>
                <w:sz w:val="19"/>
                <w:szCs w:val="19"/>
              </w:rPr>
            </w:pPr>
            <w:r w:rsidRPr="009F23EB">
              <w:rPr>
                <w:color w:val="000000"/>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39D3AB5C" w14:textId="77777777" w:rsidR="007B0047" w:rsidRPr="004D73F1" w:rsidRDefault="007B0047" w:rsidP="005A1E0A">
            <w:pPr>
              <w:jc w:val="both"/>
              <w:rPr>
                <w:color w:val="000000"/>
                <w:sz w:val="19"/>
                <w:szCs w:val="19"/>
              </w:rPr>
            </w:pPr>
            <w:r w:rsidRPr="00C66381">
              <w:rPr>
                <w:color w:val="000000"/>
                <w:sz w:val="19"/>
                <w:szCs w:val="19"/>
              </w:rPr>
              <w:t>В соответствии с положениями Постановления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 подготовка документации по планировке территории для предполагаемых к размещению линейных объектов не требуется</w:t>
            </w:r>
          </w:p>
        </w:tc>
      </w:tr>
      <w:tr w:rsidR="007B0047" w14:paraId="14FB717A" w14:textId="77777777" w:rsidTr="005A1E0A">
        <w:tc>
          <w:tcPr>
            <w:tcW w:w="426" w:type="dxa"/>
          </w:tcPr>
          <w:p w14:paraId="25C0200B" w14:textId="77777777" w:rsidR="007B0047" w:rsidRPr="004D73F1" w:rsidRDefault="007B0047" w:rsidP="005A1E0A">
            <w:pPr>
              <w:rPr>
                <w:color w:val="000000"/>
                <w:sz w:val="19"/>
                <w:szCs w:val="19"/>
              </w:rPr>
            </w:pPr>
            <w:r w:rsidRPr="004D73F1">
              <w:rPr>
                <w:color w:val="000000"/>
                <w:sz w:val="19"/>
                <w:szCs w:val="19"/>
              </w:rPr>
              <w:t>7.</w:t>
            </w:r>
          </w:p>
        </w:tc>
        <w:tc>
          <w:tcPr>
            <w:tcW w:w="3969" w:type="dxa"/>
          </w:tcPr>
          <w:p w14:paraId="569A1C03" w14:textId="77777777" w:rsidR="007B0047" w:rsidRPr="004D73F1" w:rsidRDefault="007B0047" w:rsidP="005A1E0A">
            <w:pPr>
              <w:rPr>
                <w:color w:val="000000"/>
                <w:sz w:val="19"/>
                <w:szCs w:val="19"/>
              </w:rPr>
            </w:pPr>
            <w:r w:rsidRPr="009F23EB">
              <w:rPr>
                <w:color w:val="000000"/>
                <w:sz w:val="19"/>
                <w:szCs w:val="19"/>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095" w:type="dxa"/>
          </w:tcPr>
          <w:p w14:paraId="71318D02" w14:textId="77777777" w:rsidR="007B0047" w:rsidRPr="004D73F1" w:rsidRDefault="007B0047" w:rsidP="005A1E0A">
            <w:pPr>
              <w:rPr>
                <w:color w:val="000000"/>
                <w:sz w:val="19"/>
                <w:szCs w:val="19"/>
              </w:rPr>
            </w:pPr>
            <w:r w:rsidRPr="004D73F1">
              <w:rPr>
                <w:color w:val="000000"/>
                <w:sz w:val="19"/>
                <w:szCs w:val="19"/>
              </w:rPr>
              <w:t>https://www.mos.ru/dgi/</w:t>
            </w:r>
          </w:p>
        </w:tc>
      </w:tr>
    </w:tbl>
    <w:p w14:paraId="63ACC136" w14:textId="77777777" w:rsidR="00531F5B" w:rsidRDefault="00531F5B"/>
    <w:sectPr w:rsidR="00531F5B" w:rsidSect="007B0047">
      <w:pgSz w:w="11906" w:h="16838"/>
      <w:pgMar w:top="993"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37"/>
    <w:rsid w:val="001449C5"/>
    <w:rsid w:val="00531F5B"/>
    <w:rsid w:val="007B0047"/>
    <w:rsid w:val="007C5E37"/>
    <w:rsid w:val="00805B01"/>
    <w:rsid w:val="00891FAE"/>
    <w:rsid w:val="00B10574"/>
    <w:rsid w:val="00C91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23E54"/>
  <w15:chartTrackingRefBased/>
  <w15:docId w15:val="{8E20EBFD-FD02-42D5-874D-7D5A344D9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047"/>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7C5E3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7C5E3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7C5E3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7C5E37"/>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7C5E37"/>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7C5E3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7C5E3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7C5E3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7C5E3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E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C5E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C5E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C5E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C5E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C5E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5E37"/>
    <w:rPr>
      <w:rFonts w:eastAsiaTheme="majorEastAsia" w:cstheme="majorBidi"/>
      <w:color w:val="595959" w:themeColor="text1" w:themeTint="A6"/>
    </w:rPr>
  </w:style>
  <w:style w:type="character" w:customStyle="1" w:styleId="80">
    <w:name w:val="Заголовок 8 Знак"/>
    <w:basedOn w:val="a0"/>
    <w:link w:val="8"/>
    <w:uiPriority w:val="9"/>
    <w:semiHidden/>
    <w:rsid w:val="007C5E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5E37"/>
    <w:rPr>
      <w:rFonts w:eastAsiaTheme="majorEastAsia" w:cstheme="majorBidi"/>
      <w:color w:val="272727" w:themeColor="text1" w:themeTint="D8"/>
    </w:rPr>
  </w:style>
  <w:style w:type="paragraph" w:styleId="a3">
    <w:name w:val="Title"/>
    <w:basedOn w:val="a"/>
    <w:next w:val="a"/>
    <w:link w:val="a4"/>
    <w:uiPriority w:val="10"/>
    <w:qFormat/>
    <w:rsid w:val="007C5E3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7C5E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E3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7C5E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5E3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7C5E37"/>
    <w:rPr>
      <w:i/>
      <w:iCs/>
      <w:color w:val="404040" w:themeColor="text1" w:themeTint="BF"/>
    </w:rPr>
  </w:style>
  <w:style w:type="paragraph" w:styleId="a7">
    <w:name w:val="List Paragraph"/>
    <w:basedOn w:val="a"/>
    <w:uiPriority w:val="34"/>
    <w:qFormat/>
    <w:rsid w:val="007C5E37"/>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a8">
    <w:name w:val="Intense Emphasis"/>
    <w:basedOn w:val="a0"/>
    <w:uiPriority w:val="21"/>
    <w:qFormat/>
    <w:rsid w:val="007C5E37"/>
    <w:rPr>
      <w:i/>
      <w:iCs/>
      <w:color w:val="2F5496" w:themeColor="accent1" w:themeShade="BF"/>
    </w:rPr>
  </w:style>
  <w:style w:type="paragraph" w:styleId="a9">
    <w:name w:val="Intense Quote"/>
    <w:basedOn w:val="a"/>
    <w:next w:val="a"/>
    <w:link w:val="aa"/>
    <w:uiPriority w:val="30"/>
    <w:qFormat/>
    <w:rsid w:val="007C5E3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aa">
    <w:name w:val="Выделенная цитата Знак"/>
    <w:basedOn w:val="a0"/>
    <w:link w:val="a9"/>
    <w:uiPriority w:val="30"/>
    <w:rsid w:val="007C5E37"/>
    <w:rPr>
      <w:i/>
      <w:iCs/>
      <w:color w:val="2F5496" w:themeColor="accent1" w:themeShade="BF"/>
    </w:rPr>
  </w:style>
  <w:style w:type="character" w:styleId="ab">
    <w:name w:val="Intense Reference"/>
    <w:basedOn w:val="a0"/>
    <w:uiPriority w:val="32"/>
    <w:qFormat/>
    <w:rsid w:val="007C5E37"/>
    <w:rPr>
      <w:b/>
      <w:bCs/>
      <w:smallCaps/>
      <w:color w:val="2F5496" w:themeColor="accent1" w:themeShade="BF"/>
      <w:spacing w:val="5"/>
    </w:rPr>
  </w:style>
  <w:style w:type="paragraph" w:styleId="ac">
    <w:name w:val="Body Text"/>
    <w:basedOn w:val="a"/>
    <w:link w:val="ad"/>
    <w:rsid w:val="007B0047"/>
    <w:pPr>
      <w:jc w:val="both"/>
    </w:pPr>
    <w:rPr>
      <w:sz w:val="28"/>
    </w:rPr>
  </w:style>
  <w:style w:type="character" w:customStyle="1" w:styleId="ad">
    <w:name w:val="Основной текст Знак"/>
    <w:basedOn w:val="a0"/>
    <w:link w:val="ac"/>
    <w:rsid w:val="007B0047"/>
    <w:rPr>
      <w:rFonts w:ascii="Times New Roman" w:eastAsia="Times New Roman" w:hAnsi="Times New Roman" w:cs="Times New Roman"/>
      <w:kern w:val="0"/>
      <w:sz w:val="28"/>
      <w:szCs w:val="20"/>
      <w:lang w:eastAsia="ru-RU"/>
      <w14:ligatures w14:val="none"/>
    </w:rPr>
  </w:style>
  <w:style w:type="table" w:styleId="ae">
    <w:name w:val="Table Grid"/>
    <w:basedOn w:val="a1"/>
    <w:uiPriority w:val="59"/>
    <w:rsid w:val="007B004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Аймалетдинова Гульшат Муниповна</dc:creator>
  <cp:keywords/>
  <dc:description/>
  <cp:lastModifiedBy>Аймалетдинова Гульшат Муниповна</cp:lastModifiedBy>
  <cp:revision>2</cp:revision>
  <dcterms:created xsi:type="dcterms:W3CDTF">2025-09-09T11:27:00Z</dcterms:created>
  <dcterms:modified xsi:type="dcterms:W3CDTF">2025-09-09T11:30:00Z</dcterms:modified>
</cp:coreProperties>
</file>