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B78" w:rsidRPr="00340A2D" w:rsidRDefault="00FA4FDA" w:rsidP="00F01DCA">
      <w:pPr>
        <w:pStyle w:val="a3"/>
        <w:tabs>
          <w:tab w:val="left" w:pos="567"/>
        </w:tabs>
        <w:spacing w:line="280" w:lineRule="exact"/>
        <w:jc w:val="center"/>
        <w:rPr>
          <w:b/>
          <w:szCs w:val="28"/>
        </w:rPr>
      </w:pPr>
      <w:r w:rsidRPr="00C47058">
        <w:rPr>
          <w:b/>
          <w:szCs w:val="28"/>
        </w:rPr>
        <w:t>Сообщение о возможном установлении публичн</w:t>
      </w:r>
      <w:r w:rsidR="00C9005E">
        <w:rPr>
          <w:b/>
          <w:szCs w:val="28"/>
        </w:rPr>
        <w:t>ых</w:t>
      </w:r>
      <w:r w:rsidR="00C66381" w:rsidRPr="00C47058">
        <w:rPr>
          <w:b/>
          <w:szCs w:val="28"/>
        </w:rPr>
        <w:t xml:space="preserve"> </w:t>
      </w:r>
      <w:r w:rsidRPr="00C47058">
        <w:rPr>
          <w:b/>
          <w:szCs w:val="28"/>
        </w:rPr>
        <w:t>сервитут</w:t>
      </w:r>
      <w:r w:rsidR="00C9005E">
        <w:rPr>
          <w:b/>
          <w:szCs w:val="28"/>
        </w:rPr>
        <w:t>ов</w:t>
      </w:r>
      <w:r w:rsidRPr="00C47058">
        <w:rPr>
          <w:b/>
          <w:szCs w:val="28"/>
        </w:rPr>
        <w:t xml:space="preserve"> </w:t>
      </w:r>
      <w:r w:rsidR="00F01DCA" w:rsidRPr="00F01DCA">
        <w:rPr>
          <w:b/>
          <w:szCs w:val="28"/>
        </w:rPr>
        <w:t>в отношении земельн</w:t>
      </w:r>
      <w:r w:rsidR="00C9005E">
        <w:rPr>
          <w:b/>
          <w:szCs w:val="28"/>
        </w:rPr>
        <w:t>ых</w:t>
      </w:r>
      <w:r w:rsidR="00F01DCA" w:rsidRPr="00F01DCA">
        <w:rPr>
          <w:b/>
          <w:szCs w:val="28"/>
        </w:rPr>
        <w:t xml:space="preserve"> участк</w:t>
      </w:r>
      <w:r w:rsidR="00C9005E">
        <w:rPr>
          <w:b/>
          <w:szCs w:val="28"/>
        </w:rPr>
        <w:t>ов</w:t>
      </w:r>
      <w:r w:rsidR="00F01DCA" w:rsidRPr="00F01DCA">
        <w:rPr>
          <w:b/>
          <w:szCs w:val="28"/>
        </w:rPr>
        <w:t xml:space="preserve"> в целях </w:t>
      </w:r>
      <w:r w:rsidR="00C9005E" w:rsidRPr="00C9005E">
        <w:rPr>
          <w:b/>
          <w:szCs w:val="28"/>
        </w:rPr>
        <w:t xml:space="preserve">размещения объекта энергетики регионального значения кабельная линия электропередачи напряжением 110 </w:t>
      </w:r>
      <w:proofErr w:type="spellStart"/>
      <w:r w:rsidR="00C9005E" w:rsidRPr="00C9005E">
        <w:rPr>
          <w:b/>
          <w:szCs w:val="28"/>
        </w:rPr>
        <w:t>кВ</w:t>
      </w:r>
      <w:proofErr w:type="spellEnd"/>
      <w:r w:rsidR="00C9005E" w:rsidRPr="00C9005E">
        <w:rPr>
          <w:b/>
          <w:szCs w:val="28"/>
        </w:rPr>
        <w:t xml:space="preserve"> «</w:t>
      </w:r>
      <w:proofErr w:type="spellStart"/>
      <w:r w:rsidR="00C9005E" w:rsidRPr="00C9005E">
        <w:rPr>
          <w:b/>
          <w:szCs w:val="28"/>
        </w:rPr>
        <w:t>Карачарово</w:t>
      </w:r>
      <w:proofErr w:type="spellEnd"/>
      <w:r w:rsidR="00C9005E" w:rsidRPr="00C9005E">
        <w:rPr>
          <w:b/>
          <w:szCs w:val="28"/>
        </w:rPr>
        <w:t>-Андроньевская № 1, № 2» на участке от электрической подстанции «</w:t>
      </w:r>
      <w:proofErr w:type="spellStart"/>
      <w:r w:rsidR="00C9005E" w:rsidRPr="00C9005E">
        <w:rPr>
          <w:b/>
          <w:szCs w:val="28"/>
        </w:rPr>
        <w:t>Карачарово</w:t>
      </w:r>
      <w:proofErr w:type="spellEnd"/>
      <w:r w:rsidR="00C9005E" w:rsidRPr="00C9005E">
        <w:rPr>
          <w:b/>
          <w:szCs w:val="28"/>
        </w:rPr>
        <w:t>» до электрической подстанции «Андроньевская»</w:t>
      </w:r>
    </w:p>
    <w:p w:rsidR="00DB6FB2" w:rsidRDefault="00DB6FB2" w:rsidP="00DB6FB2">
      <w:pPr>
        <w:pStyle w:val="a3"/>
        <w:tabs>
          <w:tab w:val="left" w:pos="567"/>
        </w:tabs>
        <w:spacing w:line="220" w:lineRule="exact"/>
        <w:jc w:val="center"/>
        <w:rPr>
          <w:b/>
          <w:sz w:val="24"/>
          <w:szCs w:val="24"/>
        </w:rPr>
      </w:pPr>
    </w:p>
    <w:tbl>
      <w:tblPr>
        <w:tblStyle w:val="a5"/>
        <w:tblW w:w="10603" w:type="dxa"/>
        <w:tblInd w:w="-289" w:type="dxa"/>
        <w:tblLayout w:type="fixed"/>
        <w:tblLook w:val="04A0" w:firstRow="1" w:lastRow="0" w:firstColumn="1" w:lastColumn="0" w:noHBand="0" w:noVBand="1"/>
      </w:tblPr>
      <w:tblGrid>
        <w:gridCol w:w="426"/>
        <w:gridCol w:w="3686"/>
        <w:gridCol w:w="6491"/>
      </w:tblGrid>
      <w:tr w:rsidR="00FA4FDA" w:rsidTr="00DB6FB2">
        <w:tc>
          <w:tcPr>
            <w:tcW w:w="426" w:type="dxa"/>
          </w:tcPr>
          <w:p w:rsidR="00FA4FDA" w:rsidRPr="004D73F1" w:rsidRDefault="00FA4FDA" w:rsidP="00DB6FB2">
            <w:pPr>
              <w:spacing w:line="220" w:lineRule="exact"/>
              <w:jc w:val="center"/>
              <w:rPr>
                <w:bCs/>
                <w:color w:val="000000"/>
                <w:sz w:val="19"/>
                <w:szCs w:val="19"/>
              </w:rPr>
            </w:pPr>
            <w:r w:rsidRPr="004D73F1">
              <w:rPr>
                <w:bCs/>
                <w:color w:val="000000"/>
                <w:sz w:val="19"/>
                <w:szCs w:val="19"/>
              </w:rPr>
              <w:t>1.</w:t>
            </w:r>
          </w:p>
        </w:tc>
        <w:tc>
          <w:tcPr>
            <w:tcW w:w="3686" w:type="dxa"/>
          </w:tcPr>
          <w:p w:rsidR="00FA4FDA" w:rsidRPr="004D73F1" w:rsidRDefault="00FA4FDA" w:rsidP="00DB6FB2">
            <w:pPr>
              <w:spacing w:line="22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491" w:type="dxa"/>
          </w:tcPr>
          <w:p w:rsidR="00FA4FDA" w:rsidRPr="004D73F1" w:rsidRDefault="00FA4FDA" w:rsidP="00DB6FB2">
            <w:pPr>
              <w:spacing w:line="220" w:lineRule="exact"/>
              <w:rPr>
                <w:sz w:val="19"/>
                <w:szCs w:val="19"/>
              </w:rPr>
            </w:pPr>
            <w:r w:rsidRPr="004D73F1">
              <w:rPr>
                <w:sz w:val="19"/>
                <w:szCs w:val="19"/>
              </w:rPr>
              <w:t>Департамент городского имущества города Москвы</w:t>
            </w:r>
          </w:p>
        </w:tc>
      </w:tr>
      <w:tr w:rsidR="00FA4FDA" w:rsidTr="00DB6FB2">
        <w:tc>
          <w:tcPr>
            <w:tcW w:w="426" w:type="dxa"/>
          </w:tcPr>
          <w:p w:rsidR="00FA4FDA" w:rsidRPr="004D73F1" w:rsidRDefault="00FA4FDA" w:rsidP="00DB6FB2">
            <w:pPr>
              <w:spacing w:line="220" w:lineRule="exact"/>
              <w:jc w:val="center"/>
              <w:rPr>
                <w:color w:val="000000"/>
                <w:sz w:val="19"/>
                <w:szCs w:val="19"/>
              </w:rPr>
            </w:pPr>
            <w:r w:rsidRPr="004D73F1">
              <w:rPr>
                <w:color w:val="000000"/>
                <w:sz w:val="19"/>
                <w:szCs w:val="19"/>
              </w:rPr>
              <w:t>2.</w:t>
            </w:r>
          </w:p>
        </w:tc>
        <w:tc>
          <w:tcPr>
            <w:tcW w:w="3686" w:type="dxa"/>
          </w:tcPr>
          <w:p w:rsidR="00FA4FDA" w:rsidRPr="004D73F1" w:rsidRDefault="00FA4FDA" w:rsidP="00DB6FB2">
            <w:pPr>
              <w:spacing w:line="220" w:lineRule="exact"/>
              <w:rPr>
                <w:sz w:val="19"/>
                <w:szCs w:val="19"/>
              </w:rPr>
            </w:pPr>
            <w:r w:rsidRPr="009F23EB">
              <w:rPr>
                <w:color w:val="000000"/>
                <w:sz w:val="19"/>
                <w:szCs w:val="19"/>
              </w:rPr>
              <w:t>Цель установления публичного сервитута</w:t>
            </w:r>
          </w:p>
        </w:tc>
        <w:tc>
          <w:tcPr>
            <w:tcW w:w="6491" w:type="dxa"/>
          </w:tcPr>
          <w:p w:rsidR="003C0E49" w:rsidRPr="006B3A54" w:rsidRDefault="006D5325" w:rsidP="00DB6FB2">
            <w:pPr>
              <w:spacing w:line="220" w:lineRule="exact"/>
              <w:rPr>
                <w:sz w:val="19"/>
                <w:szCs w:val="19"/>
              </w:rPr>
            </w:pPr>
            <w:r>
              <w:rPr>
                <w:sz w:val="19"/>
                <w:szCs w:val="19"/>
              </w:rPr>
              <w:t xml:space="preserve">Для </w:t>
            </w:r>
            <w:r w:rsidR="00C9005E" w:rsidRPr="00C9005E">
              <w:rPr>
                <w:sz w:val="19"/>
                <w:szCs w:val="19"/>
              </w:rPr>
              <w:t xml:space="preserve">размещения объекта энергетики регионального значения кабельная линия электропередачи напряжением 110 </w:t>
            </w:r>
            <w:proofErr w:type="spellStart"/>
            <w:r w:rsidR="00C9005E" w:rsidRPr="00C9005E">
              <w:rPr>
                <w:sz w:val="19"/>
                <w:szCs w:val="19"/>
              </w:rPr>
              <w:t>кВ</w:t>
            </w:r>
            <w:proofErr w:type="spellEnd"/>
            <w:r w:rsidR="00C9005E" w:rsidRPr="00C9005E">
              <w:rPr>
                <w:sz w:val="19"/>
                <w:szCs w:val="19"/>
              </w:rPr>
              <w:t xml:space="preserve"> «</w:t>
            </w:r>
            <w:proofErr w:type="spellStart"/>
            <w:r w:rsidR="00C9005E" w:rsidRPr="00C9005E">
              <w:rPr>
                <w:sz w:val="19"/>
                <w:szCs w:val="19"/>
              </w:rPr>
              <w:t>Карачарово</w:t>
            </w:r>
            <w:proofErr w:type="spellEnd"/>
            <w:r w:rsidR="00C9005E" w:rsidRPr="00C9005E">
              <w:rPr>
                <w:sz w:val="19"/>
                <w:szCs w:val="19"/>
              </w:rPr>
              <w:t>-Андроньевская</w:t>
            </w:r>
            <w:r w:rsidR="00C9005E">
              <w:rPr>
                <w:sz w:val="19"/>
                <w:szCs w:val="19"/>
              </w:rPr>
              <w:br/>
            </w:r>
            <w:r w:rsidR="00C9005E" w:rsidRPr="00C9005E">
              <w:rPr>
                <w:sz w:val="19"/>
                <w:szCs w:val="19"/>
              </w:rPr>
              <w:t>№ 1, № 2» на участке от электрической подстанции «</w:t>
            </w:r>
            <w:proofErr w:type="spellStart"/>
            <w:r w:rsidR="00C9005E" w:rsidRPr="00C9005E">
              <w:rPr>
                <w:sz w:val="19"/>
                <w:szCs w:val="19"/>
              </w:rPr>
              <w:t>Карачарово</w:t>
            </w:r>
            <w:proofErr w:type="spellEnd"/>
            <w:r w:rsidR="00C9005E" w:rsidRPr="00C9005E">
              <w:rPr>
                <w:sz w:val="19"/>
                <w:szCs w:val="19"/>
              </w:rPr>
              <w:t>» до электрической подстанции «Андроньевская»</w:t>
            </w:r>
          </w:p>
        </w:tc>
      </w:tr>
      <w:tr w:rsidR="00FA4FDA" w:rsidTr="00DB6FB2">
        <w:tc>
          <w:tcPr>
            <w:tcW w:w="426" w:type="dxa"/>
          </w:tcPr>
          <w:p w:rsidR="00FA4FDA" w:rsidRPr="004D73F1" w:rsidRDefault="00FA4FDA" w:rsidP="00DB6FB2">
            <w:pPr>
              <w:spacing w:line="220" w:lineRule="exact"/>
              <w:jc w:val="center"/>
              <w:rPr>
                <w:color w:val="000000"/>
                <w:sz w:val="19"/>
                <w:szCs w:val="19"/>
              </w:rPr>
            </w:pPr>
            <w:r w:rsidRPr="004D73F1">
              <w:rPr>
                <w:color w:val="000000"/>
                <w:sz w:val="19"/>
                <w:szCs w:val="19"/>
              </w:rPr>
              <w:t>3.</w:t>
            </w:r>
          </w:p>
        </w:tc>
        <w:tc>
          <w:tcPr>
            <w:tcW w:w="3686" w:type="dxa"/>
          </w:tcPr>
          <w:p w:rsidR="00FA4FDA" w:rsidRPr="004D73F1" w:rsidRDefault="00FA4FDA" w:rsidP="00DB6FB2">
            <w:pPr>
              <w:spacing w:line="22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491" w:type="dxa"/>
          </w:tcPr>
          <w:p w:rsidR="008549C0" w:rsidRPr="006B3A54" w:rsidRDefault="00C9005E" w:rsidP="005F4832">
            <w:pPr>
              <w:spacing w:line="220" w:lineRule="exact"/>
              <w:rPr>
                <w:sz w:val="19"/>
                <w:szCs w:val="19"/>
              </w:rPr>
            </w:pPr>
            <w:r w:rsidRPr="00C9005E">
              <w:rPr>
                <w:sz w:val="19"/>
                <w:szCs w:val="19"/>
              </w:rPr>
              <w:t>Земельные участки с кадастровыми номерами:</w:t>
            </w:r>
            <w:r>
              <w:rPr>
                <w:sz w:val="19"/>
                <w:szCs w:val="19"/>
              </w:rPr>
              <w:t xml:space="preserve"> 77:04:0002005:95, 77:04:0002023:23, 77:04:0002003:2619, 77:04:0002003:25, 77:04:0002003:6, </w:t>
            </w:r>
            <w:r w:rsidR="003C5ECE">
              <w:rPr>
                <w:sz w:val="19"/>
                <w:szCs w:val="19"/>
              </w:rPr>
              <w:t xml:space="preserve">77:04:0001015:34, 77:04:0001020:139, 77:04:0001020:7336, 77:04:0001020:25, 77:04:0001020:108, 77:04:0000000:6223, 77:04:0002001:140, 77:04:0001022:14, 77:04:0001012:24, 77:04:0001012:15, 77:04:0001012:28, 77:04:0001014:55, 77:04:0001014:1006, 77:04:0001013:26, 77:04:0001013:38, 77:04:0001013:37, 77:04:0001009:44, 77:04:0001009:2596 </w:t>
            </w:r>
            <w:r w:rsidR="00C065E8">
              <w:rPr>
                <w:sz w:val="19"/>
                <w:szCs w:val="19"/>
              </w:rPr>
              <w:t xml:space="preserve">и </w:t>
            </w:r>
            <w:r w:rsidR="00C065E8" w:rsidRPr="00C065E8">
              <w:rPr>
                <w:sz w:val="19"/>
                <w:szCs w:val="19"/>
              </w:rPr>
              <w:t>земельных участков, расположенных в границах территории кадастровых кварталов 77:0</w:t>
            </w:r>
            <w:r w:rsidR="005F4832">
              <w:rPr>
                <w:sz w:val="19"/>
                <w:szCs w:val="19"/>
              </w:rPr>
              <w:t>4</w:t>
            </w:r>
            <w:r w:rsidR="00C065E8" w:rsidRPr="00C065E8">
              <w:rPr>
                <w:sz w:val="19"/>
                <w:szCs w:val="19"/>
              </w:rPr>
              <w:t>:000</w:t>
            </w:r>
            <w:r w:rsidR="005F4832">
              <w:rPr>
                <w:sz w:val="19"/>
                <w:szCs w:val="19"/>
              </w:rPr>
              <w:t>2005, 77:04:0002003, 77:04:0001015, 77:04:0001020, 77:04:0001014, 77:04:0001012, 77:04:0001013, 77:04:0001009</w:t>
            </w:r>
            <w:r w:rsidR="00C065E8" w:rsidRPr="00C065E8">
              <w:rPr>
                <w:sz w:val="19"/>
                <w:szCs w:val="19"/>
              </w:rPr>
              <w:t xml:space="preserve"> </w:t>
            </w:r>
            <w:r w:rsidR="003C5ECE">
              <w:rPr>
                <w:sz w:val="19"/>
                <w:szCs w:val="19"/>
              </w:rPr>
              <w:t>(</w:t>
            </w:r>
            <w:r w:rsidR="00C065E8">
              <w:rPr>
                <w:sz w:val="19"/>
                <w:szCs w:val="19"/>
              </w:rPr>
              <w:t>Ю</w:t>
            </w:r>
            <w:r w:rsidR="003C5ECE">
              <w:rPr>
                <w:sz w:val="19"/>
                <w:szCs w:val="19"/>
              </w:rPr>
              <w:t>ВАО).</w:t>
            </w:r>
            <w:bookmarkStart w:id="0" w:name="_GoBack"/>
            <w:bookmarkEnd w:id="0"/>
          </w:p>
        </w:tc>
      </w:tr>
      <w:tr w:rsidR="00FA4FDA" w:rsidTr="00DB6FB2">
        <w:tc>
          <w:tcPr>
            <w:tcW w:w="426" w:type="dxa"/>
          </w:tcPr>
          <w:p w:rsidR="00FA4FDA" w:rsidRPr="004D73F1" w:rsidRDefault="00FA4FDA" w:rsidP="00DB6FB2">
            <w:pPr>
              <w:spacing w:line="220" w:lineRule="exact"/>
              <w:jc w:val="center"/>
              <w:rPr>
                <w:sz w:val="19"/>
                <w:szCs w:val="19"/>
              </w:rPr>
            </w:pPr>
            <w:r w:rsidRPr="004D73F1">
              <w:rPr>
                <w:sz w:val="19"/>
                <w:szCs w:val="19"/>
              </w:rPr>
              <w:t>4.</w:t>
            </w:r>
          </w:p>
        </w:tc>
        <w:tc>
          <w:tcPr>
            <w:tcW w:w="3686" w:type="dxa"/>
          </w:tcPr>
          <w:p w:rsidR="00FA4FDA" w:rsidRPr="004D73F1" w:rsidRDefault="00FA4FDA" w:rsidP="00DB6FB2">
            <w:pPr>
              <w:spacing w:line="22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491" w:type="dxa"/>
          </w:tcPr>
          <w:p w:rsidR="00365A33" w:rsidRPr="00365A33" w:rsidRDefault="00365A33" w:rsidP="00365A33">
            <w:pPr>
              <w:spacing w:line="220" w:lineRule="exact"/>
              <w:rPr>
                <w:color w:val="000000"/>
                <w:sz w:val="19"/>
                <w:szCs w:val="19"/>
              </w:rPr>
            </w:pPr>
            <w:r w:rsidRPr="00365A33">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rsidR="00365A33" w:rsidRPr="00365A33" w:rsidRDefault="00365A33" w:rsidP="00365A33">
            <w:pPr>
              <w:spacing w:line="220" w:lineRule="exact"/>
              <w:rPr>
                <w:color w:val="000000"/>
                <w:sz w:val="19"/>
                <w:szCs w:val="19"/>
              </w:rPr>
            </w:pPr>
            <w:r w:rsidRPr="00365A33">
              <w:rPr>
                <w:color w:val="000000"/>
                <w:sz w:val="19"/>
                <w:szCs w:val="19"/>
              </w:rPr>
              <w:t>При необходимости возможно подать обращение по данному вопросу через электронную приемную https://www.mos.ru/feedback/reception/</w:t>
            </w:r>
          </w:p>
          <w:p w:rsidR="00365A33" w:rsidRPr="00365A33" w:rsidRDefault="00365A33" w:rsidP="00365A33">
            <w:pPr>
              <w:spacing w:line="220" w:lineRule="exact"/>
              <w:rPr>
                <w:color w:val="000000"/>
                <w:sz w:val="19"/>
                <w:szCs w:val="19"/>
              </w:rPr>
            </w:pPr>
            <w:r w:rsidRPr="00365A33">
              <w:rPr>
                <w:color w:val="000000"/>
                <w:sz w:val="19"/>
                <w:szCs w:val="19"/>
              </w:rPr>
              <w:t>(время приема круглосуточно)</w:t>
            </w:r>
          </w:p>
          <w:p w:rsidR="00FA4FDA" w:rsidRPr="004D73F1" w:rsidRDefault="00365A33" w:rsidP="00365A33">
            <w:pPr>
              <w:spacing w:line="220" w:lineRule="exact"/>
              <w:rPr>
                <w:color w:val="000000"/>
                <w:sz w:val="19"/>
                <w:szCs w:val="19"/>
              </w:rPr>
            </w:pPr>
            <w:r w:rsidRPr="00365A33">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rsidTr="00DB6FB2">
        <w:tc>
          <w:tcPr>
            <w:tcW w:w="426" w:type="dxa"/>
          </w:tcPr>
          <w:p w:rsidR="00FA4FDA" w:rsidRPr="004D73F1" w:rsidRDefault="00FA4FDA" w:rsidP="00DB6FB2">
            <w:pPr>
              <w:spacing w:line="220" w:lineRule="exact"/>
              <w:jc w:val="center"/>
              <w:rPr>
                <w:color w:val="000000"/>
                <w:sz w:val="19"/>
                <w:szCs w:val="19"/>
              </w:rPr>
            </w:pPr>
            <w:r w:rsidRPr="004D73F1">
              <w:rPr>
                <w:color w:val="000000"/>
                <w:sz w:val="19"/>
                <w:szCs w:val="19"/>
              </w:rPr>
              <w:t>5.</w:t>
            </w:r>
          </w:p>
        </w:tc>
        <w:tc>
          <w:tcPr>
            <w:tcW w:w="3686" w:type="dxa"/>
          </w:tcPr>
          <w:p w:rsidR="00FA4FDA" w:rsidRPr="004D73F1" w:rsidRDefault="00FA4FDA" w:rsidP="00DB6FB2">
            <w:pPr>
              <w:spacing w:line="22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491" w:type="dxa"/>
          </w:tcPr>
          <w:p w:rsidR="00FA4FDA" w:rsidRPr="004D73F1" w:rsidRDefault="00FA4FDA" w:rsidP="00DB6FB2">
            <w:pPr>
              <w:spacing w:line="220" w:lineRule="exact"/>
              <w:rPr>
                <w:color w:val="000000"/>
                <w:sz w:val="19"/>
                <w:szCs w:val="19"/>
              </w:rPr>
            </w:pPr>
            <w:r w:rsidRPr="004D73F1">
              <w:rPr>
                <w:color w:val="000000"/>
                <w:sz w:val="19"/>
                <w:szCs w:val="19"/>
              </w:rPr>
              <w:t>https://www.mos.ru/dgi/</w:t>
            </w:r>
          </w:p>
        </w:tc>
      </w:tr>
      <w:tr w:rsidR="00FA4FDA" w:rsidTr="00DB6FB2">
        <w:tc>
          <w:tcPr>
            <w:tcW w:w="426" w:type="dxa"/>
          </w:tcPr>
          <w:p w:rsidR="00FA4FDA" w:rsidRPr="004D73F1" w:rsidRDefault="00FA4FDA" w:rsidP="00DB6FB2">
            <w:pPr>
              <w:spacing w:line="220" w:lineRule="exact"/>
              <w:jc w:val="center"/>
              <w:rPr>
                <w:color w:val="000000"/>
                <w:sz w:val="19"/>
                <w:szCs w:val="19"/>
              </w:rPr>
            </w:pPr>
            <w:r w:rsidRPr="004D73F1">
              <w:rPr>
                <w:color w:val="000000"/>
                <w:sz w:val="19"/>
                <w:szCs w:val="19"/>
              </w:rPr>
              <w:t>6.</w:t>
            </w:r>
          </w:p>
        </w:tc>
        <w:tc>
          <w:tcPr>
            <w:tcW w:w="3686" w:type="dxa"/>
          </w:tcPr>
          <w:p w:rsidR="00FA4FDA" w:rsidRPr="004D73F1" w:rsidRDefault="00FA4FDA" w:rsidP="00DB6FB2">
            <w:pPr>
              <w:spacing w:line="22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rsidR="00FA4FDA" w:rsidRPr="004D73F1" w:rsidRDefault="00C66381" w:rsidP="00DB6FB2">
            <w:pPr>
              <w:spacing w:line="220" w:lineRule="exact"/>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FA4FDA" w:rsidTr="00DB6FB2">
        <w:tc>
          <w:tcPr>
            <w:tcW w:w="426" w:type="dxa"/>
          </w:tcPr>
          <w:p w:rsidR="00FA4FDA" w:rsidRPr="004D73F1" w:rsidRDefault="00FA4FDA" w:rsidP="00DB6FB2">
            <w:pPr>
              <w:spacing w:line="220" w:lineRule="exact"/>
              <w:jc w:val="center"/>
              <w:rPr>
                <w:color w:val="000000"/>
                <w:sz w:val="19"/>
                <w:szCs w:val="19"/>
              </w:rPr>
            </w:pPr>
            <w:r w:rsidRPr="004D73F1">
              <w:rPr>
                <w:color w:val="000000"/>
                <w:sz w:val="19"/>
                <w:szCs w:val="19"/>
              </w:rPr>
              <w:t>7.</w:t>
            </w:r>
          </w:p>
        </w:tc>
        <w:tc>
          <w:tcPr>
            <w:tcW w:w="3686" w:type="dxa"/>
          </w:tcPr>
          <w:p w:rsidR="00FA4FDA" w:rsidRPr="004D73F1" w:rsidRDefault="00FA4FDA" w:rsidP="00DB6FB2">
            <w:pPr>
              <w:spacing w:line="22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rsidR="00FA4FDA" w:rsidRPr="004D73F1" w:rsidRDefault="00FA4FDA" w:rsidP="00DB6FB2">
            <w:pPr>
              <w:spacing w:line="220" w:lineRule="exact"/>
              <w:rPr>
                <w:color w:val="000000"/>
                <w:sz w:val="19"/>
                <w:szCs w:val="19"/>
              </w:rPr>
            </w:pPr>
            <w:r w:rsidRPr="004D73F1">
              <w:rPr>
                <w:color w:val="000000"/>
                <w:sz w:val="19"/>
                <w:szCs w:val="19"/>
              </w:rPr>
              <w:t>https://www.mos.ru/dgi/</w:t>
            </w:r>
          </w:p>
        </w:tc>
      </w:tr>
    </w:tbl>
    <w:p w:rsidR="004E4E8F" w:rsidRDefault="004E4E8F" w:rsidP="00C73DA1">
      <w:pPr>
        <w:spacing w:line="220" w:lineRule="exact"/>
      </w:pPr>
    </w:p>
    <w:sectPr w:rsidR="004E4E8F" w:rsidSect="00DB6FB2">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193A"/>
    <w:rsid w:val="00002E90"/>
    <w:rsid w:val="000374D8"/>
    <w:rsid w:val="00060A0D"/>
    <w:rsid w:val="00064F73"/>
    <w:rsid w:val="00082B7D"/>
    <w:rsid w:val="000E7D0E"/>
    <w:rsid w:val="001047B7"/>
    <w:rsid w:val="00122788"/>
    <w:rsid w:val="00135632"/>
    <w:rsid w:val="00151798"/>
    <w:rsid w:val="00164CCC"/>
    <w:rsid w:val="001B53E8"/>
    <w:rsid w:val="001E2F3C"/>
    <w:rsid w:val="002A36A0"/>
    <w:rsid w:val="002B28B1"/>
    <w:rsid w:val="002D3BFC"/>
    <w:rsid w:val="002E0417"/>
    <w:rsid w:val="002E36C1"/>
    <w:rsid w:val="00311505"/>
    <w:rsid w:val="00331555"/>
    <w:rsid w:val="003358ED"/>
    <w:rsid w:val="00340A2D"/>
    <w:rsid w:val="00350136"/>
    <w:rsid w:val="00360B78"/>
    <w:rsid w:val="00365A33"/>
    <w:rsid w:val="00372401"/>
    <w:rsid w:val="003B0E84"/>
    <w:rsid w:val="003C0E49"/>
    <w:rsid w:val="003C5ECE"/>
    <w:rsid w:val="003D438D"/>
    <w:rsid w:val="003F65D5"/>
    <w:rsid w:val="00406B3A"/>
    <w:rsid w:val="00421906"/>
    <w:rsid w:val="00440C6B"/>
    <w:rsid w:val="00444E49"/>
    <w:rsid w:val="0045329B"/>
    <w:rsid w:val="004973A1"/>
    <w:rsid w:val="004A3A60"/>
    <w:rsid w:val="004E4E8F"/>
    <w:rsid w:val="005022C3"/>
    <w:rsid w:val="005338BA"/>
    <w:rsid w:val="00535626"/>
    <w:rsid w:val="005607F5"/>
    <w:rsid w:val="00561738"/>
    <w:rsid w:val="00562E39"/>
    <w:rsid w:val="00570825"/>
    <w:rsid w:val="005C3EEB"/>
    <w:rsid w:val="005E15AA"/>
    <w:rsid w:val="005E4CB8"/>
    <w:rsid w:val="005F4832"/>
    <w:rsid w:val="00603178"/>
    <w:rsid w:val="00605BD7"/>
    <w:rsid w:val="006064AC"/>
    <w:rsid w:val="00616BE7"/>
    <w:rsid w:val="006402A7"/>
    <w:rsid w:val="00646CEA"/>
    <w:rsid w:val="00671325"/>
    <w:rsid w:val="00674A60"/>
    <w:rsid w:val="006829B4"/>
    <w:rsid w:val="006B3A54"/>
    <w:rsid w:val="006D2969"/>
    <w:rsid w:val="006D5325"/>
    <w:rsid w:val="00704B1D"/>
    <w:rsid w:val="00713EB7"/>
    <w:rsid w:val="00727986"/>
    <w:rsid w:val="00736E8B"/>
    <w:rsid w:val="00741F2C"/>
    <w:rsid w:val="00746614"/>
    <w:rsid w:val="007A27AD"/>
    <w:rsid w:val="007B7232"/>
    <w:rsid w:val="008038F7"/>
    <w:rsid w:val="00830D2C"/>
    <w:rsid w:val="00836746"/>
    <w:rsid w:val="008450EC"/>
    <w:rsid w:val="008549C0"/>
    <w:rsid w:val="00870D13"/>
    <w:rsid w:val="0088755B"/>
    <w:rsid w:val="008A41D8"/>
    <w:rsid w:val="008B37F9"/>
    <w:rsid w:val="00990C1C"/>
    <w:rsid w:val="009B66FF"/>
    <w:rsid w:val="00A333C9"/>
    <w:rsid w:val="00A43776"/>
    <w:rsid w:val="00A4476D"/>
    <w:rsid w:val="00A57E85"/>
    <w:rsid w:val="00A82A98"/>
    <w:rsid w:val="00A863E8"/>
    <w:rsid w:val="00AA3B26"/>
    <w:rsid w:val="00B204B3"/>
    <w:rsid w:val="00C0127B"/>
    <w:rsid w:val="00C065E8"/>
    <w:rsid w:val="00C35D29"/>
    <w:rsid w:val="00C366EB"/>
    <w:rsid w:val="00C47058"/>
    <w:rsid w:val="00C61B4C"/>
    <w:rsid w:val="00C66381"/>
    <w:rsid w:val="00C73DA1"/>
    <w:rsid w:val="00C9005E"/>
    <w:rsid w:val="00CA60EC"/>
    <w:rsid w:val="00CB19D9"/>
    <w:rsid w:val="00CD5484"/>
    <w:rsid w:val="00D04D2A"/>
    <w:rsid w:val="00D25E82"/>
    <w:rsid w:val="00D26C32"/>
    <w:rsid w:val="00D70033"/>
    <w:rsid w:val="00D77E34"/>
    <w:rsid w:val="00DB6FB2"/>
    <w:rsid w:val="00DD3B26"/>
    <w:rsid w:val="00DE25A2"/>
    <w:rsid w:val="00DE4C50"/>
    <w:rsid w:val="00E43F7F"/>
    <w:rsid w:val="00E71D88"/>
    <w:rsid w:val="00E8470F"/>
    <w:rsid w:val="00EE75CC"/>
    <w:rsid w:val="00F01DCA"/>
    <w:rsid w:val="00F30E21"/>
    <w:rsid w:val="00F50DBA"/>
    <w:rsid w:val="00FA4672"/>
    <w:rsid w:val="00FA4FDA"/>
    <w:rsid w:val="00FD0809"/>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9B28"/>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Коблякова Ирина Александровна</cp:lastModifiedBy>
  <cp:revision>2</cp:revision>
  <dcterms:created xsi:type="dcterms:W3CDTF">2025-01-20T11:34:00Z</dcterms:created>
  <dcterms:modified xsi:type="dcterms:W3CDTF">2025-01-20T11:34:00Z</dcterms:modified>
</cp:coreProperties>
</file>